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2D" w:rsidRPr="001F712D" w:rsidRDefault="001F712D" w:rsidP="001F712D">
      <w:pPr>
        <w:pStyle w:val="a4"/>
        <w:jc w:val="center"/>
      </w:pPr>
      <w:bookmarkStart w:id="0" w:name="_GoBack"/>
      <w:bookmarkEnd w:id="0"/>
      <w:r w:rsidRPr="001F712D">
        <w:rPr>
          <w:b/>
          <w:bCs/>
          <w:sz w:val="20"/>
          <w:szCs w:val="20"/>
        </w:rPr>
        <w:t>Програма науково-практичного семінару</w:t>
      </w:r>
    </w:p>
    <w:p w:rsidR="001F712D" w:rsidRPr="001F712D" w:rsidRDefault="001F712D" w:rsidP="001F712D">
      <w:pPr>
        <w:pStyle w:val="a4"/>
        <w:jc w:val="center"/>
      </w:pPr>
      <w:r w:rsidRPr="001F712D">
        <w:rPr>
          <w:b/>
          <w:bCs/>
          <w:sz w:val="20"/>
          <w:szCs w:val="20"/>
        </w:rPr>
        <w:t>«Модернізація бухгалтерського обліку в державному секторі: метод нарахування та відповідності доходів та витрат»</w:t>
      </w:r>
    </w:p>
    <w:p w:rsidR="001F712D" w:rsidRPr="001F712D" w:rsidRDefault="001F712D" w:rsidP="001F712D">
      <w:pPr>
        <w:pStyle w:val="a4"/>
        <w:jc w:val="center"/>
      </w:pPr>
      <w:r w:rsidRPr="001F712D">
        <w:rPr>
          <w:b/>
          <w:bCs/>
          <w:sz w:val="20"/>
          <w:szCs w:val="20"/>
        </w:rPr>
        <w:t>(м. Київ, 26.09.2012 р.)</w:t>
      </w:r>
    </w:p>
    <w:p w:rsidR="001F712D" w:rsidRPr="001F712D" w:rsidRDefault="001F712D" w:rsidP="001F712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F712D">
        <w:rPr>
          <w:rFonts w:ascii="Times New Roman" w:hAnsi="Times New Roman" w:cs="Times New Roman"/>
          <w:b/>
          <w:bCs/>
          <w:sz w:val="20"/>
          <w:szCs w:val="20"/>
        </w:rPr>
        <w:t xml:space="preserve">Стратегія модернізації системи бухгалтерського обліку в державному секторі: 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необхідність вдосконалення бухгалтерського обліку в державному секторі;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характеристика передумов модернізації бухгалтерського обліку в державному секторі;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міжнародні фактори модернізації бухгалтерського обліку в державному секторі;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ключові напрями реалізації Стратегії модернізації системи бухгалтерського обліку в державному секторі;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нормативно-правове забезпечення та організаційно-управлінські заходи з реалізації Стратегії модернізації системи бухгалтерського обліку в державному секторі;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прийняті національні положення (стандарти) бухгалтерського обліку для державного сектору (НП(С)БОДС) та їх значення для розкриття інформації про основні об’єкти бухгалтерського обліку в державному секторі.</w:t>
      </w:r>
    </w:p>
    <w:p w:rsidR="001F712D" w:rsidRPr="001F712D" w:rsidRDefault="001F712D" w:rsidP="001F712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F712D">
        <w:rPr>
          <w:rFonts w:ascii="Times New Roman" w:hAnsi="Times New Roman" w:cs="Times New Roman"/>
          <w:b/>
          <w:bCs/>
          <w:sz w:val="20"/>
          <w:szCs w:val="20"/>
        </w:rPr>
        <w:t xml:space="preserve">Метод нарахування та відповідності доходів і витрат та його застосування для оцінки доходів в державному секторі: 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сутність принципів бухгалтерського обліку в державному секторі та їх загальна характеристика;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характеристика методу нарахування та відповідності доходів і витрат та його застосування для оцінки доходів і витрат суб’єктів державного сектору;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НП(С)БО 124 «Доходи» як методологічна основа обліку доходів в державному секторі за методом нарахувань та його загальна характеристика;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поширення дії НП(С)БО 124 та його основна термінологія;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класифікація, визнання та оцінка доходів за НП(С)БО 124;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собівартість продукції, робіт, послуг.</w:t>
      </w:r>
    </w:p>
    <w:p w:rsidR="001F712D" w:rsidRPr="001F712D" w:rsidRDefault="001F712D" w:rsidP="001F712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F712D">
        <w:rPr>
          <w:rFonts w:ascii="Times New Roman" w:hAnsi="Times New Roman" w:cs="Times New Roman"/>
          <w:b/>
          <w:bCs/>
          <w:sz w:val="20"/>
          <w:szCs w:val="20"/>
        </w:rPr>
        <w:t xml:space="preserve">Метод нарахування і відповідності доходів і витрат та його застосування для оцінки витрат в державному секторі: 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застосування методу нарахування та відповідності доходів і витрат для оцінки доходів і витрат суб’єктів державного сектору;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НП(С)БО 135 «Витрати» як методологічна основа обліку витрат в державному секторі за методом нарахувань та його загальна характеристика;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поширення дії НП(С)БО 135 та його основна термінологія;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класифікація витрат за НП(С)БО 135;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визнання та оцінка витрат за НП(С)БО 135.</w:t>
      </w:r>
    </w:p>
    <w:p w:rsidR="001F712D" w:rsidRPr="001F712D" w:rsidRDefault="001F712D" w:rsidP="001F712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F712D">
        <w:rPr>
          <w:rFonts w:ascii="Times New Roman" w:hAnsi="Times New Roman" w:cs="Times New Roman"/>
          <w:b/>
          <w:bCs/>
          <w:sz w:val="20"/>
          <w:szCs w:val="20"/>
        </w:rPr>
        <w:t xml:space="preserve">Адаптація фінансової звітності суб’єктів державного сектору до вимог національних стандартів: 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застосування НП(С)БОДС в контексті адаптації фінансової звітності суб’єктів державного сектору відповідно до вимог міжнародних стандартів;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структура форм фінансової звітності бюджетних установ і звітності про виконання бюджетів та основні компоненти звітності суб’єктів державного сектору за методом нарахувань;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загальна характеристика НП(С)БОДС 101 «Подання фінансової звітності», НП(С)БОДС 102 «Консолідована фінансова звітність», НП(С)БОДС 103 «Фінансова звітність за сегментами»;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порядок розкриття інформації про основні форми фінансової звітності суб’єктів державного сектору у НП(С)БОДС.</w:t>
      </w:r>
    </w:p>
    <w:p w:rsidR="001F712D" w:rsidRPr="001F712D" w:rsidRDefault="001F712D" w:rsidP="001F712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F712D">
        <w:rPr>
          <w:rFonts w:ascii="Times New Roman" w:hAnsi="Times New Roman" w:cs="Times New Roman"/>
          <w:b/>
          <w:bCs/>
          <w:sz w:val="20"/>
          <w:szCs w:val="20"/>
        </w:rPr>
        <w:t>Відображення інформації про доходи і витрати у фінансовій звітності: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відображення інформації про доходи у фінансовій звітності;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відображення інформації про витрати у фінансовій звітності;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відображення інформації про скориговані доходи і витрати у фінансовій звітності;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розкриття інформації про виплив інфляції в примітках до фінансової звітності.</w:t>
      </w:r>
    </w:p>
    <w:p w:rsidR="001F712D" w:rsidRPr="001F712D" w:rsidRDefault="001F712D" w:rsidP="001F712D">
      <w:pPr>
        <w:pStyle w:val="a4"/>
      </w:pPr>
      <w:r w:rsidRPr="001F712D">
        <w:rPr>
          <w:b/>
          <w:bCs/>
          <w:sz w:val="20"/>
          <w:szCs w:val="20"/>
        </w:rPr>
        <w:t xml:space="preserve">6. Особливості визнання доходів і витрат в умовах гіперінфляції в державному секторі: 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оцінка доходів за умов гіперінфляції;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оцінка витрат за умов гіперінфляції;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коригування показників звіту про фінансові результати</w:t>
      </w:r>
    </w:p>
    <w:p w:rsidR="001F712D" w:rsidRPr="001F712D" w:rsidRDefault="001F712D" w:rsidP="001F712D">
      <w:pPr>
        <w:pStyle w:val="a4"/>
        <w:spacing w:before="0" w:beforeAutospacing="0" w:after="0" w:afterAutospacing="0"/>
      </w:pPr>
      <w:r w:rsidRPr="001F712D">
        <w:rPr>
          <w:sz w:val="20"/>
          <w:szCs w:val="20"/>
        </w:rPr>
        <w:t>· коригування інших фінансових звітів.</w:t>
      </w:r>
    </w:p>
    <w:p w:rsidR="001F712D" w:rsidRDefault="001F712D" w:rsidP="001F712D">
      <w:pPr>
        <w:pStyle w:val="a4"/>
      </w:pPr>
      <w:r w:rsidRPr="001F712D">
        <w:rPr>
          <w:sz w:val="20"/>
          <w:szCs w:val="20"/>
        </w:rPr>
        <w:t xml:space="preserve">Всі питання розглядаються з урахуванням змін законодавства </w:t>
      </w:r>
      <w:r>
        <w:rPr>
          <w:sz w:val="20"/>
          <w:szCs w:val="20"/>
        </w:rPr>
        <w:t>на дату семінару.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lastRenderedPageBreak/>
        <w:t>Семінар проводять фахівці Міністерства фінансів України, Державної податкової служби України, Державної казначейської служби України, Національної академії управління, практикуючі аудитори, експерти-консультанти з бухгалтерського обліку та оподаткування.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t>Інформаційно-консультативні послуги, матеріали семінару на паперових носіях та CD-дисках, сертифікат, комплект канцтоварів, кава-паузи для учасників семінару безкоштовні.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t>Під час обідньої перерви учасники семінару можуть відвідати кафе Національної академії управління.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t>Для отримання більш ґрунтовних відповідей експертів під час семінару, прохання надсилати Ваші запитання заздалегідь на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: </w:t>
      </w:r>
      <w:hyperlink r:id="rId8" w:history="1">
        <w:r>
          <w:rPr>
            <w:rStyle w:val="a3"/>
            <w:sz w:val="20"/>
            <w:szCs w:val="20"/>
          </w:rPr>
          <w:t>chepur@nam.kiev.ua</w:t>
        </w:r>
      </w:hyperlink>
      <w:r>
        <w:rPr>
          <w:sz w:val="20"/>
          <w:szCs w:val="20"/>
        </w:rPr>
        <w:t xml:space="preserve"> 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t>Під час перерв відбудеться неформальне знайомство між учасниками семінару.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t>На завершення буде проведено круглий стіл для обговорення дискусійних питань.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t xml:space="preserve">Аудиторія обладнана повним комплектом необхідного мультимедійного обладнання, оргтехнікою, </w:t>
      </w:r>
      <w:proofErr w:type="spellStart"/>
      <w:r>
        <w:rPr>
          <w:sz w:val="20"/>
          <w:szCs w:val="20"/>
        </w:rPr>
        <w:t>микрофонами</w:t>
      </w:r>
      <w:proofErr w:type="spellEnd"/>
      <w:r>
        <w:rPr>
          <w:sz w:val="20"/>
          <w:szCs w:val="20"/>
        </w:rPr>
        <w:t>, заходиться в зоні WI-FI.</w:t>
      </w:r>
    </w:p>
    <w:p w:rsidR="001F712D" w:rsidRDefault="001F712D" w:rsidP="001F712D">
      <w:pPr>
        <w:pStyle w:val="a4"/>
      </w:pPr>
      <w:r>
        <w:rPr>
          <w:sz w:val="20"/>
          <w:szCs w:val="20"/>
        </w:rPr>
        <w:t xml:space="preserve">До Ваших послуг - автономна автостоянка, система </w:t>
      </w:r>
      <w:proofErr w:type="spellStart"/>
      <w:r>
        <w:rPr>
          <w:sz w:val="20"/>
          <w:szCs w:val="20"/>
        </w:rPr>
        <w:t>відеонагляду</w:t>
      </w:r>
      <w:proofErr w:type="spellEnd"/>
      <w:r>
        <w:rPr>
          <w:sz w:val="20"/>
          <w:szCs w:val="20"/>
        </w:rPr>
        <w:t>, охорона.</w:t>
      </w:r>
    </w:p>
    <w:p w:rsidR="001F712D" w:rsidRDefault="001F712D" w:rsidP="001F712D">
      <w:pPr>
        <w:pStyle w:val="a4"/>
        <w:spacing w:before="0" w:beforeAutospacing="0" w:after="0" w:afterAutospacing="0"/>
        <w:jc w:val="right"/>
      </w:pPr>
      <w:r>
        <w:rPr>
          <w:b/>
          <w:bCs/>
          <w:i/>
          <w:iCs/>
          <w:sz w:val="20"/>
          <w:szCs w:val="20"/>
        </w:rPr>
        <w:t xml:space="preserve">Семінар відбудеться 26 вересня 2012 року </w:t>
      </w:r>
    </w:p>
    <w:p w:rsidR="001F712D" w:rsidRDefault="001F712D" w:rsidP="001F712D">
      <w:pPr>
        <w:pStyle w:val="a4"/>
        <w:spacing w:before="0" w:beforeAutospacing="0" w:after="0" w:afterAutospacing="0"/>
        <w:jc w:val="right"/>
      </w:pPr>
      <w:r>
        <w:rPr>
          <w:b/>
          <w:bCs/>
          <w:i/>
          <w:iCs/>
          <w:sz w:val="20"/>
          <w:szCs w:val="20"/>
        </w:rPr>
        <w:t>в м. Києві в Національній академії управління</w:t>
      </w:r>
    </w:p>
    <w:p w:rsidR="001F712D" w:rsidRDefault="001F712D" w:rsidP="001F712D">
      <w:pPr>
        <w:pStyle w:val="a4"/>
        <w:spacing w:before="0" w:beforeAutospacing="0" w:after="0" w:afterAutospacing="0"/>
        <w:jc w:val="right"/>
      </w:pPr>
      <w:r>
        <w:rPr>
          <w:b/>
          <w:bCs/>
          <w:i/>
          <w:iCs/>
          <w:sz w:val="20"/>
          <w:szCs w:val="20"/>
        </w:rPr>
        <w:t xml:space="preserve">(вул. Вінницька, 10, </w:t>
      </w:r>
      <w:proofErr w:type="spellStart"/>
      <w:r>
        <w:rPr>
          <w:b/>
          <w:bCs/>
          <w:i/>
          <w:iCs/>
          <w:sz w:val="20"/>
          <w:szCs w:val="20"/>
        </w:rPr>
        <w:t>ауд</w:t>
      </w:r>
      <w:proofErr w:type="spellEnd"/>
      <w:r>
        <w:rPr>
          <w:b/>
          <w:bCs/>
          <w:i/>
          <w:iCs/>
          <w:sz w:val="20"/>
          <w:szCs w:val="20"/>
        </w:rPr>
        <w:t>. № 401, 4-й поверх).</w:t>
      </w:r>
    </w:p>
    <w:p w:rsidR="001F712D" w:rsidRDefault="001F712D" w:rsidP="001F712D">
      <w:pPr>
        <w:pStyle w:val="a4"/>
        <w:spacing w:before="0" w:beforeAutospacing="0" w:after="0" w:afterAutospacing="0"/>
        <w:jc w:val="right"/>
      </w:pPr>
      <w:r>
        <w:rPr>
          <w:b/>
          <w:bCs/>
          <w:i/>
          <w:iCs/>
          <w:sz w:val="20"/>
          <w:szCs w:val="20"/>
        </w:rPr>
        <w:t xml:space="preserve">(район Севастопольської площі), </w:t>
      </w:r>
    </w:p>
    <w:p w:rsidR="001F712D" w:rsidRDefault="001F712D" w:rsidP="001F712D">
      <w:pPr>
        <w:pStyle w:val="a4"/>
        <w:spacing w:before="0" w:beforeAutospacing="0" w:after="0" w:afterAutospacing="0"/>
        <w:jc w:val="right"/>
      </w:pPr>
      <w:r>
        <w:rPr>
          <w:b/>
          <w:bCs/>
          <w:i/>
          <w:iCs/>
          <w:sz w:val="20"/>
          <w:szCs w:val="20"/>
        </w:rPr>
        <w:t xml:space="preserve">їхати маршрутними таксі </w:t>
      </w:r>
    </w:p>
    <w:p w:rsidR="001F712D" w:rsidRDefault="001F712D" w:rsidP="001F712D">
      <w:pPr>
        <w:pStyle w:val="a4"/>
        <w:spacing w:before="0" w:beforeAutospacing="0" w:after="0" w:afterAutospacing="0"/>
        <w:jc w:val="right"/>
      </w:pPr>
      <w:r>
        <w:rPr>
          <w:b/>
          <w:bCs/>
          <w:i/>
          <w:iCs/>
          <w:sz w:val="20"/>
          <w:szCs w:val="20"/>
        </w:rPr>
        <w:t>№6+27, 9, 17+7, 157к, 169, 182, 185, 196, 213, 220, 231(1), 302, 368, 438,455, 463д, 482, 496, 499, 518, 550, тролейбусами №№21,22,40.</w:t>
      </w:r>
    </w:p>
    <w:p w:rsidR="001F712D" w:rsidRDefault="001F712D" w:rsidP="001F712D">
      <w:pPr>
        <w:pStyle w:val="a4"/>
        <w:spacing w:before="0" w:beforeAutospacing="0" w:after="0" w:afterAutospacing="0"/>
        <w:jc w:val="right"/>
      </w:pPr>
      <w:r>
        <w:rPr>
          <w:b/>
          <w:bCs/>
          <w:i/>
          <w:iCs/>
          <w:sz w:val="20"/>
          <w:szCs w:val="20"/>
        </w:rPr>
        <w:t xml:space="preserve">Час проведення: 10.00 – 18.00 </w:t>
      </w:r>
    </w:p>
    <w:p w:rsidR="00FA73A3" w:rsidRPr="001F712D" w:rsidRDefault="00FA73A3" w:rsidP="001F712D"/>
    <w:sectPr w:rsidR="00FA73A3" w:rsidRPr="001F712D" w:rsidSect="001F712D"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17" w:rsidRDefault="00B80917">
      <w:r>
        <w:separator/>
      </w:r>
    </w:p>
  </w:endnote>
  <w:endnote w:type="continuationSeparator" w:id="0">
    <w:p w:rsidR="00B80917" w:rsidRDefault="00B8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17" w:rsidRDefault="00B80917"/>
  </w:footnote>
  <w:footnote w:type="continuationSeparator" w:id="0">
    <w:p w:rsidR="00B80917" w:rsidRDefault="00B809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3EB"/>
    <w:multiLevelType w:val="multilevel"/>
    <w:tmpl w:val="FCEA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B20BE"/>
    <w:multiLevelType w:val="multilevel"/>
    <w:tmpl w:val="836AF9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F56AE"/>
    <w:multiLevelType w:val="multilevel"/>
    <w:tmpl w:val="1B34E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475BC"/>
    <w:multiLevelType w:val="multilevel"/>
    <w:tmpl w:val="DE420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64BFC"/>
    <w:multiLevelType w:val="multilevel"/>
    <w:tmpl w:val="94B6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A73A3"/>
    <w:rsid w:val="001F712D"/>
    <w:rsid w:val="00B80917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TimesNewRoman45ptNotBold">
    <w:name w:val="Body text (3) + Times New Roman;4.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uk-UA" w:eastAsia="uk-UA" w:bidi="uk-UA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20" w:lineRule="exact"/>
      <w:outlineLvl w:val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86" w:lineRule="exact"/>
    </w:pPr>
    <w:rPr>
      <w:rFonts w:ascii="Arial" w:eastAsia="Arial" w:hAnsi="Arial" w:cs="Arial"/>
      <w:sz w:val="8"/>
      <w:szCs w:val="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86" w:lineRule="exact"/>
    </w:pPr>
    <w:rPr>
      <w:rFonts w:ascii="Arial" w:eastAsia="Arial" w:hAnsi="Arial" w:cs="Arial"/>
      <w:b/>
      <w:bCs/>
      <w:sz w:val="8"/>
      <w:szCs w:val="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styleId="a4">
    <w:name w:val="Normal (Web)"/>
    <w:basedOn w:val="a"/>
    <w:uiPriority w:val="99"/>
    <w:semiHidden/>
    <w:unhideWhenUsed/>
    <w:rsid w:val="001F71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TimesNewRoman45ptNotBold">
    <w:name w:val="Body text (3) + Times New Roman;4.5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uk-UA" w:eastAsia="uk-UA" w:bidi="uk-UA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20" w:lineRule="exact"/>
      <w:outlineLvl w:val="1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86" w:lineRule="exact"/>
    </w:pPr>
    <w:rPr>
      <w:rFonts w:ascii="Arial" w:eastAsia="Arial" w:hAnsi="Arial" w:cs="Arial"/>
      <w:sz w:val="8"/>
      <w:szCs w:val="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86" w:lineRule="exact"/>
    </w:pPr>
    <w:rPr>
      <w:rFonts w:ascii="Arial" w:eastAsia="Arial" w:hAnsi="Arial" w:cs="Arial"/>
      <w:b/>
      <w:bCs/>
      <w:sz w:val="8"/>
      <w:szCs w:val="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styleId="a4">
    <w:name w:val="Normal (Web)"/>
    <w:basedOn w:val="a"/>
    <w:uiPriority w:val="99"/>
    <w:semiHidden/>
    <w:unhideWhenUsed/>
    <w:rsid w:val="001F71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pur@nam.kie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isAlex</dc:creator>
  <cp:lastModifiedBy>isAlex</cp:lastModifiedBy>
  <cp:revision>2</cp:revision>
  <dcterms:created xsi:type="dcterms:W3CDTF">2015-03-23T00:11:00Z</dcterms:created>
  <dcterms:modified xsi:type="dcterms:W3CDTF">2015-03-23T00:11:00Z</dcterms:modified>
</cp:coreProperties>
</file>